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BAAE" w14:textId="1F259398" w:rsidR="00213743" w:rsidRPr="0024372A" w:rsidRDefault="00000000" w:rsidP="0024372A">
      <w:pPr>
        <w:pStyle w:val="Default"/>
        <w:rPr>
          <w:rFonts w:asciiTheme="minorHAnsi" w:hAnsiTheme="minorHAnsi" w:cstheme="minorHAnsi"/>
        </w:rPr>
      </w:pPr>
      <w:r w:rsidRPr="0024372A">
        <w:rPr>
          <w:rFonts w:asciiTheme="minorHAnsi" w:hAnsiTheme="minorHAnsi" w:cstheme="minorHAnsi"/>
        </w:rPr>
        <w:t xml:space="preserve">Bologna, </w:t>
      </w:r>
      <w:r w:rsidR="0024372A" w:rsidRPr="0024372A">
        <w:rPr>
          <w:rFonts w:asciiTheme="minorHAnsi" w:hAnsiTheme="minorHAnsi" w:cstheme="minorHAnsi"/>
        </w:rPr>
        <w:t>30</w:t>
      </w:r>
      <w:r w:rsidRPr="0024372A">
        <w:rPr>
          <w:rFonts w:asciiTheme="minorHAnsi" w:hAnsiTheme="minorHAnsi" w:cstheme="minorHAnsi"/>
        </w:rPr>
        <w:t xml:space="preserve"> settembre 2026</w:t>
      </w:r>
    </w:p>
    <w:p w14:paraId="49A29A66" w14:textId="77777777" w:rsidR="00213743" w:rsidRPr="0024372A" w:rsidRDefault="00213743" w:rsidP="0024372A">
      <w:pPr>
        <w:spacing w:after="0" w:line="240" w:lineRule="auto"/>
        <w:jc w:val="both"/>
        <w:rPr>
          <w:rFonts w:cstheme="minorHAnsi"/>
        </w:rPr>
      </w:pPr>
    </w:p>
    <w:p w14:paraId="7E0A1830" w14:textId="77777777" w:rsidR="00213743" w:rsidRPr="0024372A" w:rsidRDefault="00000000" w:rsidP="00E8205E">
      <w:pPr>
        <w:spacing w:after="0" w:line="240" w:lineRule="auto"/>
        <w:jc w:val="right"/>
        <w:rPr>
          <w:rFonts w:cstheme="minorHAnsi"/>
        </w:rPr>
      </w:pPr>
      <w:r w:rsidRPr="0024372A">
        <w:rPr>
          <w:rFonts w:cstheme="minorHAnsi"/>
          <w:sz w:val="24"/>
          <w:szCs w:val="24"/>
        </w:rPr>
        <w:t>Al Presidente</w:t>
      </w:r>
    </w:p>
    <w:p w14:paraId="644EE12C" w14:textId="77777777" w:rsidR="00213743" w:rsidRPr="0024372A" w:rsidRDefault="00000000" w:rsidP="00E8205E">
      <w:pPr>
        <w:spacing w:after="0" w:line="240" w:lineRule="auto"/>
        <w:jc w:val="right"/>
        <w:rPr>
          <w:rFonts w:cstheme="minorHAnsi"/>
        </w:rPr>
      </w:pPr>
      <w:r w:rsidRPr="0024372A">
        <w:rPr>
          <w:rFonts w:cstheme="minorHAnsi"/>
          <w:sz w:val="24"/>
          <w:szCs w:val="24"/>
        </w:rPr>
        <w:t>dell’Assemblea legislativa</w:t>
      </w:r>
    </w:p>
    <w:p w14:paraId="41213904" w14:textId="77777777" w:rsidR="00213743" w:rsidRPr="0024372A" w:rsidRDefault="00000000" w:rsidP="00E8205E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  <w:szCs w:val="24"/>
        </w:rPr>
        <w:t>Regione Emilia – Romagna</w:t>
      </w:r>
    </w:p>
    <w:p w14:paraId="2E2BE4BD" w14:textId="6F601CD3" w:rsidR="0024372A" w:rsidRPr="0024372A" w:rsidRDefault="0024372A" w:rsidP="00E8205E">
      <w:pPr>
        <w:spacing w:after="0" w:line="240" w:lineRule="auto"/>
        <w:jc w:val="right"/>
        <w:rPr>
          <w:rFonts w:cstheme="minorHAnsi"/>
          <w:u w:val="single"/>
        </w:rPr>
      </w:pPr>
      <w:r w:rsidRPr="0024372A">
        <w:rPr>
          <w:rFonts w:cstheme="minorHAnsi"/>
          <w:sz w:val="24"/>
          <w:szCs w:val="24"/>
          <w:u w:val="single"/>
        </w:rPr>
        <w:t>SEDE</w:t>
      </w:r>
    </w:p>
    <w:p w14:paraId="329514BD" w14:textId="77777777" w:rsidR="00213743" w:rsidRPr="0024372A" w:rsidRDefault="00213743" w:rsidP="0024372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C4958AD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4372A">
        <w:rPr>
          <w:rFonts w:cstheme="minorHAnsi"/>
          <w:b/>
          <w:sz w:val="24"/>
        </w:rPr>
        <w:t>RISOLUZIONE ex articolo 104 Regolamento interno dell'Assemblea Legislativa dell'Emilia-Romagna.</w:t>
      </w:r>
    </w:p>
    <w:p w14:paraId="44DB994C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4372A">
        <w:rPr>
          <w:rFonts w:cstheme="minorHAnsi"/>
          <w:b/>
          <w:sz w:val="24"/>
        </w:rPr>
        <w:t>L'Assemblea Legislativa dell'Emilia-Romagna</w:t>
      </w:r>
    </w:p>
    <w:p w14:paraId="3794D825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4372A">
        <w:rPr>
          <w:rFonts w:cstheme="minorHAnsi"/>
          <w:b/>
          <w:sz w:val="24"/>
        </w:rPr>
        <w:t>premesso che:</w:t>
      </w:r>
    </w:p>
    <w:p w14:paraId="6434CD9E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4372A">
        <w:rPr>
          <w:rFonts w:cstheme="minorHAnsi"/>
          <w:sz w:val="24"/>
        </w:rPr>
        <w:t>la tutela quantitativa e qualitativa della risorsa idrica e degli ecosistemi fluviali deve essere assicurata in coerenza con gli obiettivi della pianificazione distrettuale e regionale delle acque;</w:t>
      </w:r>
    </w:p>
    <w:p w14:paraId="58C11FDB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24372A">
        <w:rPr>
          <w:rFonts w:cstheme="minorHAnsi"/>
          <w:sz w:val="24"/>
        </w:rPr>
        <w:t>la disciplina vigente prevede il rispetto del Deflusso Minimo Vitale e del Deflusso Ecologico e considera abusivo il prelievo effettuato in violazione dei relativi valori o delle disposizioni di sospensione o limitazione della derivazione;</w:t>
      </w:r>
    </w:p>
    <w:p w14:paraId="03EFFF43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24372A">
        <w:rPr>
          <w:rFonts w:cstheme="minorHAnsi"/>
          <w:sz w:val="24"/>
        </w:rPr>
        <w:t>la medesima disciplina regionale prevede strumenti di regolazione dei prelievi nelle situazioni di scarsità idrica, anche sulla base delle attività di misura e controllo svolte sul territorio da ARPAE;</w:t>
      </w:r>
    </w:p>
    <w:p w14:paraId="292053A1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b/>
          <w:sz w:val="24"/>
        </w:rPr>
        <w:t>considerato che:</w:t>
      </w:r>
    </w:p>
    <w:p w14:paraId="58351A5C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i corsi d'acqua appenninici dell'Emilia-Romagna presentano caratteristiche idrologiche differenti e, in numerosi casi, regimi marcatamente torrentizi, con forti variazioni stagionali delle portate;</w:t>
      </w:r>
    </w:p>
    <w:p w14:paraId="08411138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nel territorio piacentino i bacini del Trebbia, Nure, Arda e Tidone assumono particolare rilievo sotto il profilo ambientale, agricolo, irriguo e della sicurezza idraulica;</w:t>
      </w:r>
    </w:p>
    <w:p w14:paraId="433E43FF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la disciplina regionale delle deroghe temporanee al DMV consente, in presenza delle condizioni previste e per periodi limitati, l'adozione di specifici provvedimenti per esigenze potabili o irrigue, subordinandoli alla tutela degli obiettivi di qualità ambientale e alle misure di mitigazione e monitoraggio;</w:t>
      </w:r>
    </w:p>
    <w:p w14:paraId="46C35F62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b/>
          <w:sz w:val="24"/>
        </w:rPr>
        <w:t>rilevato che:</w:t>
      </w:r>
    </w:p>
    <w:p w14:paraId="502F12F5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nel corso dell'estate 2026 l'Osservatorio permanente sugli utilizzi idrici del Distretto del Po ha confermato condizioni di severità idrica e l'Autorità di bacino distrettuale ha dato conto di diverse richieste di deroga riguardanti corsi d'acqua minori appenninici dell'Emilia-Romagna, sottoposte alla valutazione di ARPAE;</w:t>
      </w:r>
    </w:p>
    <w:p w14:paraId="38F73179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gli indirizzi distrettuali sul Deflusso Ecologico e le attività di implementazione del DE consentono approfondimenti tecnico-scientifici e valutazioni coerenti con le caratteristiche dei singoli corpi idrici e con gli obiettivi ambientali fissati dalla pianificazione;</w:t>
      </w:r>
    </w:p>
    <w:p w14:paraId="7E31BB15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la disponibilità di serie idrologiche, dati di portata, informazioni meteorologiche e strumenti di monitoraggio costituisce il presupposto per valutazioni fondate sulle condizioni effettive dei bacini e per una gestione preventiva delle situazioni di scarsità;</w:t>
      </w:r>
    </w:p>
    <w:p w14:paraId="2B574D41" w14:textId="77777777" w:rsidR="0024372A" w:rsidRDefault="0024372A" w:rsidP="0024372A">
      <w:pPr>
        <w:pStyle w:val="Paragrafoelenco"/>
        <w:spacing w:after="0" w:line="240" w:lineRule="auto"/>
        <w:ind w:left="0"/>
        <w:jc w:val="both"/>
        <w:rPr>
          <w:rFonts w:cstheme="minorHAnsi"/>
          <w:b/>
          <w:sz w:val="24"/>
        </w:rPr>
      </w:pPr>
    </w:p>
    <w:p w14:paraId="54E30372" w14:textId="1A257DC9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b/>
          <w:sz w:val="24"/>
        </w:rPr>
        <w:lastRenderedPageBreak/>
        <w:t>evidenziato che:</w:t>
      </w:r>
    </w:p>
    <w:p w14:paraId="24081F22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una gestione efficace della risorsa idrica richiede di contemperare la salvaguardia degli ecosistemi fluviali con gli usi legittimi della risorsa, evitando automatismi e fondando le decisioni su dati aggiornati, caratteristiche idrologiche effettive e valutazioni tecniche riferite ai singoli bacini;</w:t>
      </w:r>
    </w:p>
    <w:p w14:paraId="669F1259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per i corsi d'acqua a regime torrentizio appare pertanto utile verificare, nell'ambito delle competenze regionali e distrettuali, l'adeguatezza delle modalità applicative del Deflusso Ecologico e l'eventuale necessità di approfondimenti sito-specifici, senza pregiudicare gli obiettivi di qualità ambientale;</w:t>
      </w:r>
    </w:p>
    <w:p w14:paraId="7F8FC69B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la programmazione delle misure di gestione della scarsità idrica prima delle fasi più critiche della stagione irrigua può contribuire a rendere più tempestive, trasparenti e prevedibili le decisioni per istituzioni, gestori e utilizzatori della risorsa;</w:t>
      </w:r>
    </w:p>
    <w:p w14:paraId="49C32630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b/>
          <w:sz w:val="24"/>
        </w:rPr>
        <w:t>tutto ciò premesso e considerato,</w:t>
      </w:r>
    </w:p>
    <w:p w14:paraId="5E9CDF45" w14:textId="77777777" w:rsidR="00213743" w:rsidRPr="0024372A" w:rsidRDefault="00000000" w:rsidP="0024372A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4372A">
        <w:rPr>
          <w:rFonts w:cstheme="minorHAnsi"/>
          <w:b/>
          <w:sz w:val="24"/>
        </w:rPr>
        <w:t>impegna la Giunta:</w:t>
      </w:r>
    </w:p>
    <w:p w14:paraId="432E401E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a promuovere, nell'ambito delle proprie competenze e nel confronto con ARPAE e con l'Autorità di bacino distrettuale del fiume Po, una ricognizione sull'applicazione del Deflusso Ecologico nei corsi d'acqua appenninici a marcato regime torrentizio, con particolare riferimento ai bacini piacentini del Trebbia, Nure, Arda e Tidone;</w:t>
      </w:r>
    </w:p>
    <w:p w14:paraId="605EA7DF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 xml:space="preserve">a verificare, sulla base delle serie storiche e dei dati idrologici disponibili, se e per quali corpi idrici risulti opportuno promuovere approfondimenti sito-specifici finalizzati a rappresentare adeguatamente la stagionalità naturale delle portate, le caratteristiche </w:t>
      </w:r>
      <w:proofErr w:type="spellStart"/>
      <w:r w:rsidRPr="0024372A">
        <w:rPr>
          <w:rFonts w:cstheme="minorHAnsi"/>
          <w:sz w:val="24"/>
        </w:rPr>
        <w:t>idromorfologiche</w:t>
      </w:r>
      <w:proofErr w:type="spellEnd"/>
      <w:r w:rsidRPr="0024372A">
        <w:rPr>
          <w:rFonts w:cstheme="minorHAnsi"/>
          <w:sz w:val="24"/>
        </w:rPr>
        <w:t xml:space="preserve"> e gli obiettivi ambientali;</w:t>
      </w:r>
    </w:p>
    <w:p w14:paraId="2A5B0236" w14:textId="77777777" w:rsidR="00213743" w:rsidRPr="0024372A" w:rsidRDefault="00000000" w:rsidP="002437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a promuovere presso l'Autorità di bacino distrettuale del fiume Po, ove ne ricorrano i presupposti tecnici, gli approfondimenti necessari nell'ambito dell'attuazione e dell'aggiornamento degli indirizzi sul Deflusso Ecologico;</w:t>
      </w:r>
    </w:p>
    <w:p w14:paraId="00709030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a rendere maggiormente accessibili e confrontabili, per i principali bacini interessati, i dati relativi alle portate rilevate, ai valori di Deflusso Ecologico applicabili, alle eventuali limitazioni dei prelievi e alle richieste di deroga presentate, accolte o respinte, nel rispetto della normativa vigente;</w:t>
      </w:r>
    </w:p>
    <w:p w14:paraId="7958283F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a favorire, prima dell'avvio delle fasi stagionali di maggiore criticità idrica, un confronto preventivo con gli enti territoriali, i Consorzi di bonifica e gli altri soggetti istituzionali interessati, finalizzato alla condivisione del quadro delle disponibilità e delle misure eventualmente necessarie;</w:t>
      </w:r>
    </w:p>
    <w:p w14:paraId="460CFC89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a valutare, in raccordo con i soggetti competenti, strumenti di gestione dinamica delle situazioni di scarsità idrica fondati sui dati effettivi di portata, sul monitoraggio continuo e sulle condizioni specifiche dei singoli bacini, nel rispetto degli obiettivi ambientali;</w:t>
      </w:r>
    </w:p>
    <w:p w14:paraId="7B40FEB0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a valorizzare, a tali fini, i dati prodotti dalla Rete integrata regionale idro-meteo-pluviometrica e agrometeorologica (RIRER) e dagli altri sistemi di monitoraggio regionali, favorendone l'utilizzo integrato nella pianificazione e nella gestione della risorsa idrica;</w:t>
      </w:r>
    </w:p>
    <w:p w14:paraId="0777ADDC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lastRenderedPageBreak/>
        <w:t>a riferire alla Commissione assembleare competente sugli esiti della ricognizione e sulle eventuali iniziative assunte in sede regionale e distrettuale.</w:t>
      </w:r>
    </w:p>
    <w:p w14:paraId="15559795" w14:textId="77777777" w:rsidR="00213743" w:rsidRPr="0024372A" w:rsidRDefault="00213743" w:rsidP="0024372A">
      <w:pPr>
        <w:pStyle w:val="Paragrafoelenco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14:paraId="0FA4ED9F" w14:textId="77777777" w:rsidR="00213743" w:rsidRPr="0024372A" w:rsidRDefault="00000000" w:rsidP="0024372A">
      <w:pPr>
        <w:pStyle w:val="Paragrafoelenco"/>
        <w:spacing w:after="0" w:line="240" w:lineRule="auto"/>
        <w:ind w:left="0"/>
        <w:jc w:val="right"/>
        <w:rPr>
          <w:rFonts w:cstheme="minorHAnsi"/>
          <w:sz w:val="24"/>
          <w:szCs w:val="24"/>
        </w:rPr>
      </w:pPr>
      <w:r w:rsidRPr="0024372A">
        <w:rPr>
          <w:rFonts w:cstheme="minorHAnsi"/>
          <w:sz w:val="24"/>
        </w:rPr>
        <w:t>Il consigliere</w:t>
      </w:r>
    </w:p>
    <w:p w14:paraId="453CB2F8" w14:textId="77777777" w:rsidR="00213743" w:rsidRPr="0024372A" w:rsidRDefault="00000000" w:rsidP="0024372A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24372A">
        <w:rPr>
          <w:rFonts w:cstheme="minorHAnsi"/>
          <w:b/>
          <w:bCs/>
          <w:sz w:val="24"/>
        </w:rPr>
        <w:t>Giancarlo Tagliaferri</w:t>
      </w:r>
    </w:p>
    <w:sectPr w:rsidR="00213743" w:rsidRPr="002437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55" w:right="1701" w:bottom="1134" w:left="1701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90ABB" w14:textId="77777777" w:rsidR="00762449" w:rsidRDefault="00762449">
      <w:pPr>
        <w:spacing w:after="0" w:line="240" w:lineRule="auto"/>
      </w:pPr>
      <w:r>
        <w:separator/>
      </w:r>
    </w:p>
  </w:endnote>
  <w:endnote w:type="continuationSeparator" w:id="0">
    <w:p w14:paraId="43627580" w14:textId="77777777" w:rsidR="00762449" w:rsidRDefault="00762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F3C7B" w14:textId="77777777" w:rsidR="00213743" w:rsidRDefault="002137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4E81" w14:textId="77777777" w:rsidR="00213743" w:rsidRDefault="00213743">
    <w:pPr>
      <w:pStyle w:val="Pidipagina"/>
      <w:spacing w:after="0" w:line="240" w:lineRule="auto"/>
      <w:jc w:val="center"/>
      <w:rPr>
        <w:rFonts w:ascii="Verdana" w:hAnsi="Verdana"/>
        <w:sz w:val="20"/>
        <w:szCs w:val="20"/>
      </w:rPr>
    </w:pPr>
  </w:p>
  <w:p w14:paraId="37F19BB5" w14:textId="77777777" w:rsidR="00213743" w:rsidRDefault="00000000">
    <w:pPr>
      <w:pStyle w:val="Pidipagina"/>
      <w:spacing w:after="0" w:line="240" w:lineRule="auto"/>
      <w:jc w:val="center"/>
      <w:rPr>
        <w:rFonts w:cstheme="minorHAnsi"/>
        <w:szCs w:val="24"/>
      </w:rPr>
    </w:pPr>
    <w:r>
      <w:rPr>
        <w:rFonts w:cstheme="minorHAnsi"/>
        <w:szCs w:val="24"/>
      </w:rPr>
      <w:t>Viale A. Moro, 50 – 40127 Bologna – Tel. 051 5276248</w:t>
    </w:r>
  </w:p>
  <w:p w14:paraId="4AEF375C" w14:textId="77777777" w:rsidR="00213743" w:rsidRDefault="00000000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>
      <w:rPr>
        <w:rFonts w:cstheme="minorHAnsi"/>
        <w:szCs w:val="24"/>
      </w:rPr>
      <w:t xml:space="preserve">e-mail: </w:t>
    </w:r>
    <w:hyperlink r:id="rId1">
      <w:r>
        <w:rPr>
          <w:rStyle w:val="Collegamentoipertestuale"/>
          <w:rFonts w:cstheme="minorHAnsi"/>
          <w:szCs w:val="24"/>
        </w:rPr>
        <w:t>giancarlo.tagliaferri@regione.emilia-romagna.it</w:t>
      </w:r>
    </w:hyperlink>
    <w:r>
      <w:rPr>
        <w:rFonts w:cstheme="minorHAnsi"/>
        <w:szCs w:val="24"/>
      </w:rPr>
      <w:t xml:space="preserve"> - </w:t>
    </w:r>
    <w:hyperlink r:id="rId2">
      <w:r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562B9EA2" w14:textId="77777777" w:rsidR="00213743" w:rsidRDefault="00000000">
    <w:pPr>
      <w:pStyle w:val="Pidipagina"/>
      <w:spacing w:after="0" w:line="240" w:lineRule="auto"/>
      <w:jc w:val="center"/>
      <w:rPr>
        <w:rFonts w:cstheme="minorHAnsi"/>
        <w:szCs w:val="24"/>
      </w:rPr>
    </w:pPr>
    <w:r>
      <w:rPr>
        <w:rFonts w:cstheme="minorHAnsi"/>
        <w:szCs w:val="24"/>
      </w:rPr>
      <w:t>www.giancarlotagliaferri.it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D518E" w14:textId="77777777" w:rsidR="00213743" w:rsidRDefault="00000000">
    <w:pPr>
      <w:pStyle w:val="Pidipagina"/>
      <w:spacing w:after="0" w:line="240" w:lineRule="auto"/>
      <w:jc w:val="center"/>
      <w:rPr>
        <w:rFonts w:cstheme="minorHAnsi"/>
        <w:szCs w:val="24"/>
      </w:rPr>
    </w:pPr>
    <w:r>
      <w:rPr>
        <w:rFonts w:cstheme="minorHAnsi"/>
        <w:szCs w:val="24"/>
      </w:rPr>
      <w:t>Viale A. Moro, 50 – 40127 Bologna – Tel. 051 5276248</w:t>
    </w:r>
  </w:p>
  <w:p w14:paraId="44CE61C5" w14:textId="77777777" w:rsidR="00213743" w:rsidRDefault="00000000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>
      <w:rPr>
        <w:rFonts w:cstheme="minorHAnsi"/>
        <w:szCs w:val="24"/>
      </w:rPr>
      <w:t xml:space="preserve">e-mail: </w:t>
    </w:r>
    <w:hyperlink r:id="rId1">
      <w:r>
        <w:rPr>
          <w:rStyle w:val="Collegamentoipertestuale"/>
          <w:rFonts w:cstheme="minorHAnsi"/>
          <w:szCs w:val="24"/>
        </w:rPr>
        <w:t>giancarlo.tagliaferri@regione.emilia-romagna.it</w:t>
      </w:r>
    </w:hyperlink>
    <w:r>
      <w:rPr>
        <w:rFonts w:cstheme="minorHAnsi"/>
        <w:szCs w:val="24"/>
      </w:rPr>
      <w:t xml:space="preserve"> - </w:t>
    </w:r>
    <w:hyperlink r:id="rId2">
      <w:r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3C898A59" w14:textId="77777777" w:rsidR="00213743" w:rsidRDefault="00000000">
    <w:pPr>
      <w:pStyle w:val="Pidipagina"/>
      <w:spacing w:after="0" w:line="240" w:lineRule="auto"/>
      <w:jc w:val="center"/>
      <w:rPr>
        <w:rFonts w:cstheme="minorHAnsi"/>
        <w:szCs w:val="24"/>
      </w:rPr>
    </w:pPr>
    <w:r>
      <w:rPr>
        <w:rFonts w:cstheme="minorHAnsi"/>
        <w:szCs w:val="24"/>
      </w:rPr>
      <w:t>www.giancarlotagliaferri.it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F51EC" w14:textId="77777777" w:rsidR="00762449" w:rsidRDefault="00762449">
      <w:pPr>
        <w:spacing w:after="0" w:line="240" w:lineRule="auto"/>
      </w:pPr>
      <w:r>
        <w:separator/>
      </w:r>
    </w:p>
  </w:footnote>
  <w:footnote w:type="continuationSeparator" w:id="0">
    <w:p w14:paraId="67971708" w14:textId="77777777" w:rsidR="00762449" w:rsidRDefault="00762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E170" w14:textId="77777777" w:rsidR="00213743" w:rsidRDefault="002137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F01A" w14:textId="77777777" w:rsidR="00213743" w:rsidRDefault="00000000">
    <w:pPr>
      <w:pStyle w:val="Intestazione"/>
      <w:spacing w:line="240" w:lineRule="auto"/>
      <w:rPr>
        <w:rFonts w:ascii="Verdana" w:hAnsi="Verdana"/>
        <w:sz w:val="52"/>
      </w:rPr>
    </w:pPr>
    <w:r>
      <w:rPr>
        <w:rFonts w:ascii="Verdana" w:hAnsi="Verdana"/>
        <w:noProof/>
        <w:sz w:val="52"/>
      </w:rPr>
      <w:drawing>
        <wp:anchor distT="0" distB="0" distL="0" distR="0" simplePos="0" relativeHeight="4" behindDoc="1" locked="0" layoutInCell="0" allowOverlap="1" wp14:anchorId="35EF08C4" wp14:editId="2E3017AD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135" cy="1080135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noProof/>
        <w:sz w:val="52"/>
      </w:rPr>
      <w:drawing>
        <wp:anchor distT="0" distB="0" distL="0" distR="0" simplePos="0" relativeHeight="7" behindDoc="1" locked="0" layoutInCell="0" allowOverlap="1" wp14:anchorId="060924D6" wp14:editId="27D6E92E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35" cy="496570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53235" cy="496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166FB33" w14:textId="77777777" w:rsidR="00213743" w:rsidRDefault="00213743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56BFA0C7" w14:textId="77777777" w:rsidR="00213743" w:rsidRDefault="00000000">
    <w:pPr>
      <w:pStyle w:val="Intestazione"/>
      <w:spacing w:after="0" w:line="240" w:lineRule="auto"/>
      <w:jc w:val="right"/>
      <w:rPr>
        <w:rFonts w:cstheme="minorHAnsi"/>
        <w:b/>
        <w:i/>
        <w:sz w:val="24"/>
        <w:szCs w:val="24"/>
      </w:rPr>
    </w:pPr>
    <w:r>
      <w:rPr>
        <w:rFonts w:cstheme="minorHAnsi"/>
        <w:b/>
        <w:i/>
        <w:sz w:val="24"/>
        <w:szCs w:val="24"/>
      </w:rPr>
      <w:t>Giancarlo Tagliaferri</w:t>
    </w:r>
  </w:p>
  <w:p w14:paraId="1087D68D" w14:textId="77777777" w:rsidR="00213743" w:rsidRDefault="00000000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>
      <w:rPr>
        <w:rFonts w:cstheme="minorHAnsi"/>
        <w:i/>
        <w:sz w:val="24"/>
        <w:szCs w:val="24"/>
      </w:rPr>
      <w:t>Consigliere Questore</w:t>
    </w:r>
  </w:p>
  <w:p w14:paraId="463E940C" w14:textId="77777777" w:rsidR="00213743" w:rsidRDefault="00000000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>
      <w:rPr>
        <w:rFonts w:cstheme="minorHAnsi"/>
        <w:i/>
        <w:sz w:val="24"/>
        <w:szCs w:val="24"/>
      </w:rPr>
      <w:t>Gruppo Fratelli d’Italia – Giorgia Meloni Presidente</w:t>
    </w:r>
  </w:p>
  <w:p w14:paraId="69C26C5E" w14:textId="77777777" w:rsidR="00213743" w:rsidRDefault="00213743">
    <w:pPr>
      <w:pStyle w:val="Intestazione"/>
      <w:spacing w:after="0" w:line="240" w:lineRule="auto"/>
      <w:jc w:val="right"/>
      <w:rPr>
        <w:rFonts w:ascii="Verdana" w:hAnsi="Verdana"/>
        <w:i/>
      </w:rPr>
    </w:pPr>
  </w:p>
  <w:p w14:paraId="62C45472" w14:textId="77777777" w:rsidR="00213743" w:rsidRDefault="00213743">
    <w:pPr>
      <w:pStyle w:val="Intestazione"/>
      <w:spacing w:after="0" w:line="240" w:lineRule="auto"/>
      <w:jc w:val="right"/>
      <w:rPr>
        <w:rFonts w:ascii="Verdana" w:hAnsi="Verdana"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857EF" w14:textId="77777777" w:rsidR="00213743" w:rsidRDefault="00000000">
    <w:pPr>
      <w:pStyle w:val="Intestazione"/>
      <w:spacing w:line="240" w:lineRule="auto"/>
      <w:rPr>
        <w:rFonts w:ascii="Verdana" w:hAnsi="Verdana"/>
        <w:sz w:val="52"/>
      </w:rPr>
    </w:pPr>
    <w:r>
      <w:rPr>
        <w:rFonts w:ascii="Verdana" w:hAnsi="Verdana"/>
        <w:noProof/>
        <w:sz w:val="52"/>
      </w:rPr>
      <w:drawing>
        <wp:anchor distT="0" distB="0" distL="0" distR="0" simplePos="0" relativeHeight="2" behindDoc="1" locked="0" layoutInCell="0" allowOverlap="1" wp14:anchorId="7ABC4F77" wp14:editId="25418C8E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135" cy="1080135"/>
          <wp:effectExtent l="0" t="0" r="0" b="0"/>
          <wp:wrapNone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noProof/>
        <w:sz w:val="52"/>
      </w:rPr>
      <w:drawing>
        <wp:anchor distT="0" distB="0" distL="0" distR="0" simplePos="0" relativeHeight="5" behindDoc="1" locked="0" layoutInCell="0" allowOverlap="1" wp14:anchorId="5EB9F508" wp14:editId="1EFA1EC2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35" cy="496570"/>
          <wp:effectExtent l="0" t="0" r="0" b="0"/>
          <wp:wrapNone/>
          <wp:docPr id="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53235" cy="496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E623BEC" w14:textId="77777777" w:rsidR="00213743" w:rsidRDefault="00213743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59A1AD3E" w14:textId="77777777" w:rsidR="00213743" w:rsidRDefault="00000000">
    <w:pPr>
      <w:pStyle w:val="Intestazione"/>
      <w:spacing w:after="0" w:line="240" w:lineRule="auto"/>
      <w:jc w:val="right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>Giancarlo Tagliaferri</w:t>
    </w:r>
  </w:p>
  <w:p w14:paraId="2A7FFB91" w14:textId="77777777" w:rsidR="00213743" w:rsidRDefault="00000000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>
      <w:rPr>
        <w:rFonts w:ascii="Verdana" w:hAnsi="Verdana"/>
        <w:i/>
        <w:sz w:val="20"/>
        <w:szCs w:val="20"/>
      </w:rPr>
      <w:t xml:space="preserve">Consigliere </w:t>
    </w:r>
  </w:p>
  <w:p w14:paraId="0AE2AD90" w14:textId="77777777" w:rsidR="00213743" w:rsidRDefault="00000000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>
      <w:rPr>
        <w:rFonts w:ascii="Verdana" w:hAnsi="Verdana"/>
        <w:i/>
        <w:sz w:val="20"/>
        <w:szCs w:val="20"/>
      </w:rPr>
      <w:t>Gruppo Fratelli d’Italia – Giorgia Meloni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C00DB"/>
    <w:multiLevelType w:val="multilevel"/>
    <w:tmpl w:val="0B365B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110BC3"/>
    <w:multiLevelType w:val="multilevel"/>
    <w:tmpl w:val="F3966424"/>
    <w:lvl w:ilvl="0">
      <w:start w:val="1"/>
      <w:numFmt w:val="decimal"/>
      <w:pStyle w:val="Titolo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266238574">
    <w:abstractNumId w:val="1"/>
  </w:num>
  <w:num w:numId="2" w16cid:durableId="199459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43"/>
    <w:rsid w:val="000A0056"/>
    <w:rsid w:val="00213743"/>
    <w:rsid w:val="0024372A"/>
    <w:rsid w:val="00481130"/>
    <w:rsid w:val="00762449"/>
    <w:rsid w:val="00892A6E"/>
    <w:rsid w:val="00A8147B"/>
    <w:rsid w:val="00E8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D65D"/>
  <w15:docId w15:val="{7B20838B-B5F4-400B-8DD4-F868D172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04F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4F704F"/>
    <w:pPr>
      <w:keepNext/>
      <w:keepLines/>
      <w:numPr>
        <w:numId w:val="1"/>
      </w:numPr>
      <w:pBdr>
        <w:bottom w:val="single" w:sz="4" w:space="1" w:color="595959" w:themeColor="dark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04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704F"/>
    <w:pPr>
      <w:keepNext/>
      <w:keepLines/>
      <w:numPr>
        <w:ilvl w:val="2"/>
        <w:numId w:val="1"/>
      </w:numPr>
      <w:tabs>
        <w:tab w:val="left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04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04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04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04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04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04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qFormat/>
    <w:rsid w:val="005C69D4"/>
    <w:rPr>
      <w:rFonts w:ascii="Cambria" w:eastAsia="Cambria" w:hAnsi="Cambria"/>
      <w:sz w:val="24"/>
      <w:szCs w:val="24"/>
      <w:lang w:val="it-IT" w:eastAsia="en-US" w:bidi="ar-SA"/>
    </w:rPr>
  </w:style>
  <w:style w:type="character" w:styleId="Collegamentoipertestuale">
    <w:name w:val="Hyperlink"/>
    <w:basedOn w:val="Carpredefinitoparagrafo"/>
    <w:rsid w:val="005C69D4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2E42B2"/>
    <w:rPr>
      <w:rFonts w:ascii="Tahoma" w:eastAsia="Cambri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F64137"/>
    <w:rPr>
      <w:rFonts w:ascii="Cambria" w:eastAsia="Cambria" w:hAnsi="Cambria"/>
      <w:sz w:val="24"/>
      <w:szCs w:val="24"/>
      <w:lang w:eastAsia="en-US"/>
    </w:rPr>
  </w:style>
  <w:style w:type="character" w:styleId="Enfasicorsivo">
    <w:name w:val="Emphasis"/>
    <w:basedOn w:val="Carpredefinitoparagrafo"/>
    <w:uiPriority w:val="20"/>
    <w:qFormat/>
    <w:rsid w:val="004F704F"/>
    <w:rPr>
      <w:i/>
      <w:iCs/>
      <w:color w:val="auto"/>
    </w:rPr>
  </w:style>
  <w:style w:type="character" w:styleId="Enfasigrassetto">
    <w:name w:val="Strong"/>
    <w:basedOn w:val="Carpredefinitoparagrafo"/>
    <w:uiPriority w:val="22"/>
    <w:qFormat/>
    <w:rsid w:val="004F704F"/>
    <w:rPr>
      <w:b/>
      <w:bCs/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4F704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4F704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4F704F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4F704F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4F70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4F70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4F70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4F704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4F704F"/>
    <w:rPr>
      <w:color w:val="5A5A5A" w:themeColor="text1" w:themeTint="A5"/>
      <w:spacing w:val="1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4F704F"/>
    <w:rPr>
      <w:i/>
      <w:iCs/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4F704F"/>
    <w:rPr>
      <w:color w:val="000000" w:themeColor="text1"/>
      <w:shd w:val="clear" w:color="auto" w:fill="F2F2F2"/>
    </w:rPr>
  </w:style>
  <w:style w:type="character" w:styleId="Enfasidelicata">
    <w:name w:val="Subtle Emphasis"/>
    <w:basedOn w:val="Carpredefinitoparagrafo"/>
    <w:uiPriority w:val="19"/>
    <w:qFormat/>
    <w:rsid w:val="004F704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F704F"/>
    <w:rPr>
      <w:b/>
      <w:bCs/>
      <w:i/>
      <w:iCs/>
      <w:caps/>
    </w:rPr>
  </w:style>
  <w:style w:type="character" w:styleId="Riferimentodelicato">
    <w:name w:val="Subtle Reference"/>
    <w:basedOn w:val="Carpredefinitoparagrafo"/>
    <w:uiPriority w:val="31"/>
    <w:qFormat/>
    <w:rsid w:val="004F704F"/>
    <w:rPr>
      <w:smallCaps/>
      <w:color w:val="404040" w:themeColor="text1" w:themeTint="BF"/>
      <w:u w:val="single" w:color="7F7F7F" w:themeColor="dark1" w:themeTint="80"/>
    </w:rPr>
  </w:style>
  <w:style w:type="character" w:styleId="Riferimentointenso">
    <w:name w:val="Intense Reference"/>
    <w:basedOn w:val="Carpredefinitoparagrafo"/>
    <w:uiPriority w:val="32"/>
    <w:qFormat/>
    <w:rsid w:val="004F704F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4F704F"/>
    <w:rPr>
      <w:b w:val="0"/>
      <w:bCs w:val="0"/>
      <w:smallCaps/>
      <w:spacing w:val="5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F46640"/>
    <w:rPr>
      <w:rFonts w:ascii="Calibri" w:eastAsiaTheme="minorHAnsi" w:hAnsi="Calibri"/>
      <w:szCs w:val="21"/>
      <w:lang w:eastAsia="en-US"/>
    </w:rPr>
  </w:style>
  <w:style w:type="character" w:customStyle="1" w:styleId="apple-converted-space">
    <w:name w:val="apple-converted-space"/>
    <w:qFormat/>
    <w:rsid w:val="00651914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70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Paragrafobase">
    <w:name w:val="[Paragrafo base]"/>
    <w:basedOn w:val="Normale"/>
    <w:qFormat/>
    <w:rsid w:val="005C69D4"/>
    <w:pPr>
      <w:widowControl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rsid w:val="005C69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C69D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qFormat/>
    <w:rsid w:val="002E42B2"/>
    <w:pPr>
      <w:spacing w:after="0"/>
    </w:pPr>
    <w:rPr>
      <w:rFonts w:ascii="Tahoma" w:hAnsi="Tahoma" w:cs="Tahoma"/>
      <w:sz w:val="16"/>
      <w:szCs w:val="16"/>
    </w:rPr>
  </w:style>
  <w:style w:type="paragraph" w:customStyle="1" w:styleId="Body1">
    <w:name w:val="Body 1"/>
    <w:autoRedefine/>
    <w:qFormat/>
    <w:rsid w:val="0061503F"/>
    <w:pPr>
      <w:spacing w:after="160" w:line="259" w:lineRule="auto"/>
    </w:pPr>
    <w:rPr>
      <w:rFonts w:ascii="Helvetica" w:eastAsia="Arial Unicode MS" w:hAnsi="Helvetica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B478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4BAB"/>
    <w:pPr>
      <w:widowControl w:val="0"/>
      <w:spacing w:after="0"/>
    </w:pPr>
    <w:rPr>
      <w:rFonts w:eastAsiaTheme="minorHAnsi"/>
      <w:lang w:val="en-US"/>
    </w:rPr>
  </w:style>
  <w:style w:type="paragraph" w:customStyle="1" w:styleId="ala00normale">
    <w:name w:val="ala00normale"/>
    <w:basedOn w:val="Normale"/>
    <w:qFormat/>
    <w:rsid w:val="00183D22"/>
    <w:pPr>
      <w:spacing w:beforeAutospacing="1" w:afterAutospacing="1"/>
    </w:pPr>
    <w:rPr>
      <w:rFonts w:ascii="Times New Roman" w:eastAsia="Times New Roman" w:hAnsi="Times New Roman"/>
    </w:rPr>
  </w:style>
  <w:style w:type="paragraph" w:styleId="NormaleWeb">
    <w:name w:val="Normal (Web)"/>
    <w:basedOn w:val="Normale"/>
    <w:uiPriority w:val="99"/>
    <w:unhideWhenUsed/>
    <w:qFormat/>
    <w:rsid w:val="0048746A"/>
    <w:rPr>
      <w:rFonts w:ascii="Times New Roman" w:hAnsi="Times New Roman"/>
    </w:rPr>
  </w:style>
  <w:style w:type="paragraph" w:customStyle="1" w:styleId="testodocumento">
    <w:name w:val="testodocumento"/>
    <w:basedOn w:val="Normale"/>
    <w:qFormat/>
    <w:rsid w:val="00E86D40"/>
    <w:pPr>
      <w:spacing w:after="203"/>
    </w:pPr>
    <w:rPr>
      <w:rFonts w:ascii="Times New Roman" w:eastAsia="Times New Roman" w:hAnsi="Times New Roman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0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04F"/>
    <w:rPr>
      <w:color w:val="5A5A5A" w:themeColor="text1" w:themeTint="A5"/>
      <w:spacing w:val="10"/>
    </w:rPr>
  </w:style>
  <w:style w:type="paragraph" w:styleId="Nessunaspaziatura">
    <w:name w:val="No Spacing"/>
    <w:uiPriority w:val="1"/>
    <w:qFormat/>
    <w:rsid w:val="004F704F"/>
  </w:style>
  <w:style w:type="paragraph" w:styleId="Citazione">
    <w:name w:val="Quote"/>
    <w:basedOn w:val="Normale"/>
    <w:next w:val="Normale"/>
    <w:link w:val="CitazioneCarattere"/>
    <w:uiPriority w:val="29"/>
    <w:qFormat/>
    <w:rsid w:val="004F704F"/>
    <w:pPr>
      <w:spacing w:before="160"/>
      <w:ind w:left="720" w:right="720"/>
    </w:pPr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04F"/>
    <w:pPr>
      <w:pBdr>
        <w:top w:val="single" w:sz="24" w:space="1" w:color="F2F2F2" w:themeColor="light1" w:themeShade="F2"/>
        <w:bottom w:val="single" w:sz="24" w:space="1" w:color="F2F2F2" w:themeColor="light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paragraph" w:styleId="Titoloindice">
    <w:name w:val="index heading"/>
    <w:basedOn w:val="Heading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704F"/>
    <w:pPr>
      <w:outlineLvl w:val="9"/>
    </w:pPr>
  </w:style>
  <w:style w:type="paragraph" w:styleId="Testonormale">
    <w:name w:val="Plain Text"/>
    <w:basedOn w:val="Normale"/>
    <w:link w:val="TestonormaleCarattere"/>
    <w:uiPriority w:val="99"/>
    <w:unhideWhenUsed/>
    <w:qFormat/>
    <w:rsid w:val="00F4664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paragraph" w:customStyle="1" w:styleId="interroga">
    <w:name w:val="interroga"/>
    <w:basedOn w:val="Normale"/>
    <w:autoRedefine/>
    <w:uiPriority w:val="99"/>
    <w:qFormat/>
    <w:rsid w:val="007B2022"/>
    <w:pPr>
      <w:spacing w:after="0" w:line="240" w:lineRule="auto"/>
      <w:jc w:val="center"/>
    </w:pPr>
    <w:rPr>
      <w:rFonts w:eastAsia="Times New Roman" w:cstheme="minorHAnsi"/>
      <w:b/>
      <w:sz w:val="24"/>
      <w:szCs w:val="24"/>
    </w:rPr>
  </w:style>
  <w:style w:type="paragraph" w:customStyle="1" w:styleId="commatxt">
    <w:name w:val="commatxt"/>
    <w:basedOn w:val="Normale"/>
    <w:autoRedefine/>
    <w:qFormat/>
    <w:rsid w:val="007B2022"/>
    <w:pPr>
      <w:tabs>
        <w:tab w:val="left" w:pos="425"/>
        <w:tab w:val="left" w:pos="851"/>
      </w:tabs>
      <w:spacing w:after="0" w:line="240" w:lineRule="auto"/>
      <w:jc w:val="both"/>
    </w:pPr>
    <w:rPr>
      <w:rFonts w:eastAsia="Times New Roman" w:cstheme="minorHAnsi"/>
      <w:sz w:val="24"/>
      <w:szCs w:val="20"/>
    </w:rPr>
  </w:style>
  <w:style w:type="paragraph" w:customStyle="1" w:styleId="Default">
    <w:name w:val="Default"/>
    <w:qFormat/>
    <w:rsid w:val="00C22FCC"/>
    <w:rPr>
      <w:rFonts w:ascii="Times New Roman" w:eastAsia="MS Mincho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838</Words>
  <Characters>4781</Characters>
  <Application>Microsoft Office Word</Application>
  <DocSecurity>0</DocSecurity>
  <Lines>39</Lines>
  <Paragraphs>11</Paragraphs>
  <ScaleCrop>false</ScaleCrop>
  <Company>Regione Emilia-Romagna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2014 AL</dc:title>
  <dc:subject/>
  <dc:creator>Camurani Massimiliano</dc:creator>
  <dc:description/>
  <cp:lastModifiedBy>Lorenzo Lagori</cp:lastModifiedBy>
  <cp:revision>3</cp:revision>
  <cp:lastPrinted>2020-02-05T11:14:00Z</cp:lastPrinted>
  <dcterms:created xsi:type="dcterms:W3CDTF">2026-09-30T10:27:00Z</dcterms:created>
  <dcterms:modified xsi:type="dcterms:W3CDTF">2026-09-30T10:28:00Z</dcterms:modified>
  <dc:language>en-US</dc:language>
</cp:coreProperties>
</file>